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C6469">
      <w:pPr>
        <w:rPr>
          <w:rFonts w:hint="default"/>
          <w:sz w:val="30"/>
          <w:szCs w:val="30"/>
          <w:lang w:val="sr-Cyrl-RS"/>
        </w:rPr>
      </w:pPr>
      <w:r>
        <w:rPr>
          <w:sz w:val="30"/>
          <w:szCs w:val="30"/>
          <w:lang w:val="sr-Cyrl-RS"/>
        </w:rPr>
        <w:t>ПОЗИВ</w:t>
      </w:r>
      <w:r>
        <w:rPr>
          <w:rFonts w:hint="default"/>
          <w:sz w:val="30"/>
          <w:szCs w:val="30"/>
          <w:lang w:val="sr-Cyrl-RS"/>
        </w:rPr>
        <w:t xml:space="preserve"> ЗА ПОДНОШЕЊЕ ПОНУДЕ</w:t>
      </w:r>
    </w:p>
    <w:p w14:paraId="256B65E1">
      <w:pPr>
        <w:rPr>
          <w:rFonts w:hint="default"/>
          <w:sz w:val="30"/>
          <w:szCs w:val="30"/>
          <w:lang w:val="sr-Cyrl-RS"/>
        </w:rPr>
      </w:pPr>
    </w:p>
    <w:tbl>
      <w:tblPr>
        <w:tblStyle w:val="3"/>
        <w:tblW w:w="9911" w:type="dxa"/>
        <w:jc w:val="center"/>
        <w:tblCellSpacing w:w="0" w:type="dxa"/>
        <w:tblBorders>
          <w:top w:val="inset" w:color="000000" w:sz="6" w:space="0"/>
          <w:left w:val="inset" w:color="000000" w:sz="6" w:space="0"/>
          <w:bottom w:val="inset" w:color="000000" w:sz="6" w:space="0"/>
          <w:right w:val="in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46"/>
        <w:gridCol w:w="6465"/>
      </w:tblGrid>
      <w:tr w14:paraId="027E9EA8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AED52DB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Назив наручиоца 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B9427C9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rFonts w:hint="default"/>
                <w:lang w:val="sr-Latn-RS"/>
              </w:rPr>
              <w:t xml:space="preserve">  </w:t>
            </w:r>
            <w:r>
              <w:rPr>
                <w:rFonts w:hint="default"/>
                <w:lang w:val="sr-Cyrl-RS"/>
              </w:rPr>
              <w:t>Дом здравља Нови Бечеј</w:t>
            </w:r>
          </w:p>
        </w:tc>
      </w:tr>
      <w:tr w14:paraId="612538A1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E2C16DB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Адреса</w:t>
            </w:r>
            <w:r>
              <w:rPr>
                <w:rFonts w:hint="default"/>
                <w:lang w:val="sr-Cyrl-RS"/>
              </w:rPr>
              <w:t xml:space="preserve"> наручиоца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29044B0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Трг ослобођења бр. 2, Нови Бечеј</w:t>
            </w:r>
          </w:p>
        </w:tc>
      </w:tr>
      <w:tr w14:paraId="13F90D78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" w:hRule="atLeast"/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6D6B308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Интернет</w:t>
            </w:r>
            <w:r>
              <w:rPr>
                <w:rFonts w:hint="default"/>
                <w:lang w:val="sr-Cyrl-RS"/>
              </w:rPr>
              <w:t xml:space="preserve"> страница наручиоца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C832AB7">
            <w:pPr>
              <w:jc w:val="both"/>
              <w:rPr>
                <w:rFonts w:hint="default"/>
                <w:lang w:val="sr-Latn-RS"/>
              </w:rPr>
            </w:pP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rFonts w:hint="default"/>
                <w:lang w:val="sr-Latn-RS"/>
              </w:rPr>
              <w:t xml:space="preserve">  www.dznb.rs</w:t>
            </w:r>
          </w:p>
        </w:tc>
      </w:tr>
      <w:tr w14:paraId="7BAF6C8C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2F79250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Врста поступка набавке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FFF1588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Набавка на коју се у складу са чланом 27. став 1. тачка 1. ЗЈН (“Службени гласник РС” бр.91/2019, 92/2023) закон не примењује</w:t>
            </w:r>
          </w:p>
        </w:tc>
      </w:tr>
      <w:tr w14:paraId="3A5A8D02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FF7BCDC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Врста</w:t>
            </w:r>
            <w:r>
              <w:rPr>
                <w:rFonts w:hint="default"/>
                <w:lang w:val="sr-Cyrl-RS"/>
              </w:rPr>
              <w:t xml:space="preserve"> предмета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170686C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Услуге</w:t>
            </w:r>
          </w:p>
        </w:tc>
      </w:tr>
      <w:tr w14:paraId="14407E35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4A6EC43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Опис</w:t>
            </w:r>
            <w:r>
              <w:rPr>
                <w:rFonts w:hint="default"/>
                <w:lang w:val="sr-Cyrl-RS"/>
              </w:rPr>
              <w:t xml:space="preserve"> предмета набавке, назив и ознака из општег речника  набавке: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DDA916D">
            <w:pPr>
              <w:ind w:left="120" w:hanging="120" w:hangingChars="5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Набавка услуге </w:t>
            </w:r>
            <w:r>
              <w:rPr>
                <w:rFonts w:hint="default"/>
                <w:b/>
                <w:bCs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-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sr-Cyrl-RS"/>
              </w:rPr>
              <w:t xml:space="preserve"> Услуга контроле ПП апарата и хидрантске мреже </w:t>
            </w:r>
          </w:p>
          <w:p w14:paraId="6D1EAFBF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Назив и ознака из општег речника : 50530000-9 Услуге поправке и одржавања уређаја</w:t>
            </w:r>
          </w:p>
        </w:tc>
      </w:tr>
      <w:tr w14:paraId="0FA1EEBC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AF12A64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Спецификација услуге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tbl>
            <w:tblPr>
              <w:tblStyle w:val="3"/>
              <w:tblW w:w="5119" w:type="dxa"/>
              <w:jc w:val="center"/>
              <w:tblCellSpacing w:w="0" w:type="dxa"/>
              <w:tblBorders>
                <w:top w:val="inset" w:color="000000" w:sz="6" w:space="0"/>
                <w:left w:val="inset" w:color="000000" w:sz="6" w:space="0"/>
                <w:bottom w:val="inset" w:color="000000" w:sz="6" w:space="0"/>
                <w:right w:val="inset" w:color="000000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892"/>
              <w:gridCol w:w="3227"/>
            </w:tblGrid>
            <w:tr w14:paraId="482042FE">
              <w:tblPrEx>
                <w:tblBorders>
                  <w:top w:val="inset" w:color="000000" w:sz="6" w:space="0"/>
                  <w:left w:val="inset" w:color="000000" w:sz="6" w:space="0"/>
                  <w:bottom w:val="inset" w:color="000000" w:sz="6" w:space="0"/>
                  <w:right w:val="in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29" w:hRule="atLeast"/>
                <w:tblCellSpacing w:w="0" w:type="dxa"/>
                <w:jc w:val="center"/>
              </w:trPr>
              <w:tc>
                <w:tcPr>
                  <w:tcW w:w="18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top"/>
                </w:tcPr>
                <w:p w14:paraId="55960782">
                  <w:pPr>
                    <w:ind w:left="17"/>
                    <w:jc w:val="center"/>
                    <w:rPr>
                      <w:rFonts w:hint="default"/>
                      <w:lang w:val="sr-Cyrl-RS"/>
                    </w:rPr>
                  </w:pPr>
                  <w:r>
                    <w:rPr>
                      <w:rFonts w:hint="default"/>
                      <w:lang w:val="sr-Cyrl-RS"/>
                    </w:rPr>
                    <w:t>Опис услуге</w:t>
                  </w:r>
                </w:p>
              </w:tc>
              <w:tc>
                <w:tcPr>
                  <w:tcW w:w="322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top"/>
                </w:tcPr>
                <w:p w14:paraId="0640CEEE">
                  <w:pPr>
                    <w:jc w:val="center"/>
                    <w:rPr>
                      <w:rFonts w:hint="default"/>
                      <w:lang w:val="sr-Cyrl-RS"/>
                    </w:rPr>
                  </w:pPr>
                  <w:r>
                    <w:rPr>
                      <w:rFonts w:hint="default"/>
                      <w:lang w:val="sr-Cyrl-RS"/>
                    </w:rPr>
                    <w:t>Количина</w:t>
                  </w:r>
                </w:p>
              </w:tc>
            </w:tr>
            <w:tr w14:paraId="6F44378B">
              <w:tblPrEx>
                <w:tblBorders>
                  <w:top w:val="inset" w:color="000000" w:sz="6" w:space="0"/>
                  <w:left w:val="inset" w:color="000000" w:sz="6" w:space="0"/>
                  <w:bottom w:val="inset" w:color="000000" w:sz="6" w:space="0"/>
                  <w:right w:val="in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091" w:hRule="atLeast"/>
                <w:tblCellSpacing w:w="0" w:type="dxa"/>
                <w:jc w:val="center"/>
              </w:trPr>
              <w:tc>
                <w:tcPr>
                  <w:tcW w:w="18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top"/>
                </w:tcPr>
                <w:p w14:paraId="3C9F804F">
                  <w:pPr>
                    <w:ind w:left="17"/>
                    <w:jc w:val="both"/>
                    <w:rPr>
                      <w:rFonts w:hint="default"/>
                      <w:lang w:val="sr-Latn-RS"/>
                    </w:rPr>
                  </w:pPr>
                  <w:r>
                    <w:rPr>
                      <w:rFonts w:hint="default"/>
                      <w:lang w:val="sr-Cyrl-RS"/>
                    </w:rPr>
                    <w:t xml:space="preserve">Контрола ПП апарата типа </w:t>
                  </w:r>
                  <w:r>
                    <w:rPr>
                      <w:rFonts w:hint="default"/>
                      <w:lang w:val="en-US"/>
                    </w:rPr>
                    <w:t>S-1,2,3,6,9</w:t>
                  </w:r>
                </w:p>
              </w:tc>
              <w:tc>
                <w:tcPr>
                  <w:tcW w:w="322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top"/>
                </w:tcPr>
                <w:p w14:paraId="794B9F62">
                  <w:pPr>
                    <w:ind w:left="105"/>
                    <w:jc w:val="center"/>
                    <w:rPr>
                      <w:rFonts w:hint="default"/>
                      <w:lang w:val="sr-Cyrl-RS"/>
                    </w:rPr>
                  </w:pPr>
                  <w:r>
                    <w:rPr>
                      <w:rFonts w:hint="default"/>
                      <w:lang w:val="sr-Cyrl-RS"/>
                    </w:rPr>
                    <w:t>36</w:t>
                  </w:r>
                </w:p>
              </w:tc>
            </w:tr>
            <w:tr w14:paraId="130B0160">
              <w:tblPrEx>
                <w:tblBorders>
                  <w:top w:val="inset" w:color="000000" w:sz="6" w:space="0"/>
                  <w:left w:val="inset" w:color="000000" w:sz="6" w:space="0"/>
                  <w:bottom w:val="inset" w:color="000000" w:sz="6" w:space="0"/>
                  <w:right w:val="in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091" w:hRule="atLeast"/>
                <w:tblCellSpacing w:w="0" w:type="dxa"/>
                <w:jc w:val="center"/>
              </w:trPr>
              <w:tc>
                <w:tcPr>
                  <w:tcW w:w="18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top"/>
                </w:tcPr>
                <w:p w14:paraId="32A9539B">
                  <w:pPr>
                    <w:ind w:left="17"/>
                    <w:jc w:val="both"/>
                    <w:rPr>
                      <w:rFonts w:hint="default"/>
                      <w:lang w:val="sr-Latn-RS"/>
                    </w:rPr>
                  </w:pPr>
                  <w:r>
                    <w:rPr>
                      <w:rFonts w:hint="default"/>
                      <w:lang w:val="sr-Cyrl-RS"/>
                    </w:rPr>
                    <w:t xml:space="preserve">ПП апарат типа </w:t>
                  </w:r>
                  <w:r>
                    <w:rPr>
                      <w:rFonts w:hint="default"/>
                      <w:lang w:val="en-US"/>
                    </w:rPr>
                    <w:t>S-9</w:t>
                  </w:r>
                </w:p>
              </w:tc>
              <w:tc>
                <w:tcPr>
                  <w:tcW w:w="322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top"/>
                </w:tcPr>
                <w:p w14:paraId="3EEECE71">
                  <w:pPr>
                    <w:jc w:val="center"/>
                    <w:rPr>
                      <w:rFonts w:hint="default"/>
                      <w:lang w:val="sr-Cyrl-RS"/>
                    </w:rPr>
                  </w:pPr>
                  <w:r>
                    <w:rPr>
                      <w:rFonts w:hint="default"/>
                      <w:lang w:val="sr-Cyrl-RS"/>
                    </w:rPr>
                    <w:t>3</w:t>
                  </w:r>
                </w:p>
              </w:tc>
            </w:tr>
            <w:tr w14:paraId="44AF16EF">
              <w:tblPrEx>
                <w:tblBorders>
                  <w:top w:val="inset" w:color="000000" w:sz="6" w:space="0"/>
                  <w:left w:val="inset" w:color="000000" w:sz="6" w:space="0"/>
                  <w:bottom w:val="inset" w:color="000000" w:sz="6" w:space="0"/>
                  <w:right w:val="in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49" w:hRule="atLeast"/>
                <w:tblCellSpacing w:w="0" w:type="dxa"/>
                <w:jc w:val="center"/>
              </w:trPr>
              <w:tc>
                <w:tcPr>
                  <w:tcW w:w="18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top"/>
                </w:tcPr>
                <w:p w14:paraId="7109B1EA">
                  <w:pPr>
                    <w:ind w:left="17"/>
                    <w:jc w:val="both"/>
                    <w:rPr>
                      <w:rFonts w:hint="default"/>
                      <w:lang w:val="sr-Cyrl-RS"/>
                    </w:rPr>
                  </w:pPr>
                  <w:r>
                    <w:rPr>
                      <w:rFonts w:hint="default"/>
                      <w:lang w:val="sr-Cyrl-RS"/>
                    </w:rPr>
                    <w:t>Контрола хидрантске мреже</w:t>
                  </w:r>
                </w:p>
              </w:tc>
              <w:tc>
                <w:tcPr>
                  <w:tcW w:w="322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top"/>
                </w:tcPr>
                <w:p w14:paraId="3506C3D5">
                  <w:pPr>
                    <w:ind w:left="105"/>
                    <w:jc w:val="center"/>
                    <w:rPr>
                      <w:rFonts w:hint="default"/>
                      <w:lang w:val="sr-Cyrl-RS"/>
                    </w:rPr>
                  </w:pPr>
                  <w:r>
                    <w:rPr>
                      <w:rFonts w:hint="default"/>
                      <w:lang w:val="sr-Cyrl-RS"/>
                    </w:rPr>
                    <w:t>16</w:t>
                  </w:r>
                </w:p>
                <w:p w14:paraId="4EAF5E42">
                  <w:pPr>
                    <w:ind w:left="105"/>
                    <w:jc w:val="center"/>
                    <w:rPr>
                      <w:rFonts w:hint="default"/>
                      <w:lang w:val="sr-Cyrl-RS"/>
                    </w:rPr>
                  </w:pPr>
                </w:p>
              </w:tc>
            </w:tr>
          </w:tbl>
          <w:p w14:paraId="70F178EF">
            <w:pPr>
              <w:jc w:val="both"/>
              <w:rPr>
                <w:rFonts w:hint="default"/>
                <w:lang w:val="sr-Cyrl-RS"/>
              </w:rPr>
            </w:pPr>
          </w:p>
        </w:tc>
      </w:tr>
      <w:tr w14:paraId="15AB5E65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8" w:hRule="atLeast"/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48F279E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Подаци</w:t>
            </w:r>
            <w:r>
              <w:rPr>
                <w:rFonts w:hint="default"/>
                <w:lang w:val="sr-Cyrl-RS"/>
              </w:rPr>
              <w:t xml:space="preserve"> о структури цене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F8CE751">
            <w:pPr>
              <w:jc w:val="both"/>
              <w:rPr>
                <w:rFonts w:hint="default" w:ascii="SimSun" w:eastAsia="SimSun" w:cs="Times New Roman"/>
                <w:b w:val="0"/>
                <w:bCs w:val="0"/>
                <w:color w:val="auto"/>
                <w:lang w:val="sr-Cyrl-RS"/>
              </w:rPr>
            </w:pPr>
            <w:r>
              <w:rPr>
                <w:rFonts w:hint="default" w:eastAsia="SimSun" w:cs="Times New Roman"/>
                <w:b w:val="0"/>
                <w:bCs w:val="0"/>
                <w:color w:val="auto"/>
                <w:lang w:val="sr-Cyrl-RS"/>
              </w:rPr>
              <w:t xml:space="preserve">Цена мора бити исказана </w:t>
            </w:r>
            <w:r>
              <w:rPr>
                <w:rFonts w:hint="default" w:ascii="SimSun" w:eastAsia="SimSun" w:cs="Times New Roman"/>
                <w:b w:val="0"/>
                <w:bCs w:val="0"/>
                <w:color w:val="auto"/>
                <w:lang w:val="sr-Cyrl-RS"/>
              </w:rPr>
              <w:t>са и без ПДВ-а. Уколико понуђач није у систему ПДВ-а, мора се ставити напомена о томе. Период је на 6 месеци.</w:t>
            </w:r>
            <w:bookmarkStart w:id="0" w:name="_GoBack"/>
            <w:bookmarkEnd w:id="0"/>
          </w:p>
          <w:p w14:paraId="26678803">
            <w:pPr>
              <w:jc w:val="both"/>
              <w:rPr>
                <w:rFonts w:hint="default" w:ascii="SimSun" w:eastAsia="SimSun" w:cs="Times New Roman"/>
                <w:b w:val="0"/>
                <w:bCs w:val="0"/>
                <w:color w:val="auto"/>
                <w:lang w:val="sr-Cyrl-RS"/>
              </w:rPr>
            </w:pPr>
            <w:r>
              <w:rPr>
                <w:rFonts w:hint="default" w:ascii="SimSun" w:eastAsia="SimSun" w:cs="Times New Roman"/>
                <w:b w:val="0"/>
                <w:bCs w:val="0"/>
                <w:color w:val="auto"/>
                <w:lang w:val="sr-Cyrl-RS"/>
              </w:rPr>
              <w:t>Рок плаћања минимум 45 дана од дана издавања фактуре.</w:t>
            </w:r>
          </w:p>
          <w:p w14:paraId="382F767E">
            <w:pPr>
              <w:jc w:val="both"/>
              <w:rPr>
                <w:rFonts w:hint="default" w:ascii="SimSun" w:eastAsia="SimSun" w:cs="Times New Roman"/>
                <w:b w:val="0"/>
                <w:bCs w:val="0"/>
                <w:color w:val="auto"/>
                <w:lang w:val="sr-Cyrl-RS"/>
              </w:rPr>
            </w:pPr>
            <w:r>
              <w:rPr>
                <w:rFonts w:hint="default" w:ascii="SimSun" w:eastAsia="SimSun" w:cs="Times New Roman"/>
                <w:b w:val="0"/>
                <w:bCs w:val="0"/>
                <w:color w:val="auto"/>
                <w:lang w:val="sr-Cyrl-RS"/>
              </w:rPr>
              <w:t>Зависни трошкови набавке(долазак и одлазак) урачунати у понуђену цену.</w:t>
            </w:r>
          </w:p>
          <w:p w14:paraId="38C16E25">
            <w:pPr>
              <w:jc w:val="both"/>
              <w:rPr>
                <w:rFonts w:hint="default" w:ascii="SimSun" w:eastAsia="SimSun" w:cs="Times New Roman"/>
                <w:b w:val="0"/>
                <w:bCs w:val="0"/>
                <w:color w:val="auto"/>
                <w:lang w:val="sr-Cyrl-RS"/>
              </w:rPr>
            </w:pPr>
            <w:r>
              <w:rPr>
                <w:rFonts w:hint="default" w:ascii="SimSun" w:eastAsia="SimSun" w:cs="Times New Roman"/>
                <w:b w:val="0"/>
                <w:bCs w:val="0"/>
                <w:color w:val="auto"/>
                <w:lang w:val="sr-Cyrl-RS"/>
              </w:rPr>
              <w:t>Рок важења понуде минимум 30 дана.</w:t>
            </w:r>
          </w:p>
        </w:tc>
      </w:tr>
      <w:tr w14:paraId="35A2B277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F44DEEB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Критеријум</w:t>
            </w:r>
            <w:r>
              <w:rPr>
                <w:rFonts w:hint="default"/>
                <w:lang w:val="sr-Cyrl-RS"/>
              </w:rPr>
              <w:t xml:space="preserve"> за доделу уговора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82730FA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Економски</w:t>
            </w:r>
            <w:r>
              <w:rPr>
                <w:rFonts w:hint="default"/>
                <w:lang w:val="sr-Cyrl-RS"/>
              </w:rPr>
              <w:t xml:space="preserve"> најповољна понуда.</w:t>
            </w:r>
          </w:p>
          <w:p w14:paraId="163C07B0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Елеменат критерујума - цена.</w:t>
            </w:r>
          </w:p>
          <w:p w14:paraId="5BEB5EB7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Резервни критеријум: Дужи рок плаћања.</w:t>
            </w:r>
          </w:p>
          <w:p w14:paraId="11343F33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Аваннсно плаћање : НЕ.</w:t>
            </w:r>
          </w:p>
        </w:tc>
      </w:tr>
      <w:tr w14:paraId="76CD8F8F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6AFEEC6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Начин подношња понуде и рок за подношење понуде: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263C369">
            <w:pPr>
              <w:jc w:val="both"/>
              <w:rPr>
                <w:rFonts w:hint="default" w:eastAsia="SimSun" w:cs="Times New Roman"/>
                <w:b/>
                <w:bCs w:val="0"/>
                <w:lang w:val="sr-Latn-RS"/>
              </w:rPr>
            </w:pPr>
            <w:r>
              <w:rPr>
                <w:rFonts w:hint="default"/>
                <w:b/>
                <w:bCs w:val="0"/>
                <w:lang w:val="sr-Cyrl-RS"/>
              </w:rPr>
              <w:t>Понуђач понуду подноси на сопственом меморандуму електронским путем на е-маил (понуда мора бити потписана и оверена) :</w:t>
            </w:r>
            <w:r>
              <w:rPr>
                <w:rFonts w:hint="default"/>
                <w:b/>
                <w:bCs w:val="0"/>
                <w:lang w:val="sr-Latn-RS"/>
              </w:rPr>
              <w:t>dznb</w:t>
            </w:r>
            <w:r>
              <w:rPr>
                <w:rFonts w:hint="eastAsia" w:ascii="SimSun" w:hAnsi="SimSun" w:eastAsia="SimSun" w:cs="SimSun"/>
                <w:b/>
                <w:bCs w:val="0"/>
                <w:lang w:val="sr-Latn-RS"/>
              </w:rPr>
              <w:t>＠</w:t>
            </w:r>
            <w:r>
              <w:rPr>
                <w:rFonts w:hint="default" w:eastAsia="SimSun" w:cs="Times New Roman"/>
                <w:b/>
                <w:bCs w:val="0"/>
                <w:lang w:val="sr-Latn-RS"/>
              </w:rPr>
              <w:t>mts.rs</w:t>
            </w:r>
          </w:p>
          <w:p w14:paraId="2B8FDDCF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Неблаговременом ће се сматрати понуда која није примљена од стране Понуђача до назначеног датума и часа.</w:t>
            </w:r>
          </w:p>
          <w:p w14:paraId="1FF0A687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Наручилац неће оцењивати и разматрати понду која  је неблаговремена.</w:t>
            </w:r>
          </w:p>
          <w:p w14:paraId="29A736D3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Понуђач може да поднесе само једну понуду.</w:t>
            </w:r>
          </w:p>
          <w:p w14:paraId="21BEEBD1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/>
                <w:bCs w:val="0"/>
                <w:color w:val="auto"/>
                <w:lang w:val="sr-Cyrl-RS"/>
              </w:rPr>
              <w:t xml:space="preserve">Рок за подношење понуде истиче </w:t>
            </w:r>
            <w:r>
              <w:rPr>
                <w:rFonts w:hint="default" w:eastAsia="SimSun" w:cs="Times New Roman"/>
                <w:b/>
                <w:bCs w:val="0"/>
                <w:color w:val="auto"/>
                <w:lang w:val="sr-Latn-RS"/>
              </w:rPr>
              <w:t>26.09.2025</w:t>
            </w:r>
            <w:r>
              <w:rPr>
                <w:rFonts w:hint="default" w:eastAsia="SimSun" w:cs="Times New Roman"/>
                <w:b/>
                <w:bCs w:val="0"/>
                <w:color w:val="auto"/>
                <w:lang w:val="sr-Cyrl-RS"/>
              </w:rPr>
              <w:t>. у 10 часова.</w:t>
            </w:r>
          </w:p>
        </w:tc>
      </w:tr>
      <w:tr w14:paraId="6FA93871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242AE63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Лице за контакт : 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AC7BA0B">
            <w:p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 xml:space="preserve"> Јасна Драговић, 063/8988-449</w:t>
            </w:r>
          </w:p>
        </w:tc>
      </w:tr>
    </w:tbl>
    <w:p w14:paraId="337E6AD5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C72A7"/>
    <w:rsid w:val="04C10929"/>
    <w:rsid w:val="05AC72A7"/>
    <w:rsid w:val="05FB7824"/>
    <w:rsid w:val="0682513E"/>
    <w:rsid w:val="098034A2"/>
    <w:rsid w:val="0E5661F9"/>
    <w:rsid w:val="0FE843C1"/>
    <w:rsid w:val="10332559"/>
    <w:rsid w:val="140165E4"/>
    <w:rsid w:val="1DD738E7"/>
    <w:rsid w:val="27CD39F4"/>
    <w:rsid w:val="2BDB3982"/>
    <w:rsid w:val="2F24628D"/>
    <w:rsid w:val="335608C6"/>
    <w:rsid w:val="336B12CE"/>
    <w:rsid w:val="3A993E2F"/>
    <w:rsid w:val="3B330E19"/>
    <w:rsid w:val="420958E7"/>
    <w:rsid w:val="427A2E6F"/>
    <w:rsid w:val="43CA671F"/>
    <w:rsid w:val="452B4E11"/>
    <w:rsid w:val="4A36148C"/>
    <w:rsid w:val="4B303575"/>
    <w:rsid w:val="4BFB5F56"/>
    <w:rsid w:val="4EDF4500"/>
    <w:rsid w:val="4F223B87"/>
    <w:rsid w:val="54047EBF"/>
    <w:rsid w:val="5AC94301"/>
    <w:rsid w:val="5BFD55F8"/>
    <w:rsid w:val="5C8B54B2"/>
    <w:rsid w:val="60397EEB"/>
    <w:rsid w:val="67623DE5"/>
    <w:rsid w:val="70EC3920"/>
    <w:rsid w:val="71371C59"/>
    <w:rsid w:val="79FF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2024-01-31T09:11:00Z</dcterms:created>
  <dc:creator>FIN_1</dc:creator>
  <cp:lastModifiedBy>DZNB finansije</cp:lastModifiedBy>
  <dcterms:modified xsi:type="dcterms:W3CDTF">2025-09-22T09:05:16Z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D6A70B5469344769968B313939F562AB_13</vt:lpwstr>
  </property>
</Properties>
</file>