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DC926"/>
    <w:p w14:paraId="2370A359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034CEF41">
      <w:pPr>
        <w:rPr>
          <w:rFonts w:hint="default"/>
          <w:sz w:val="30"/>
          <w:szCs w:val="30"/>
          <w:lang w:val="sr-Cyrl-RS"/>
        </w:rPr>
      </w:pPr>
    </w:p>
    <w:p w14:paraId="02DF9335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43FA3FB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9C5A14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0DF5B2E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50590D0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5A60BCE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986962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1A5B9EF0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DA325C7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5C44A0A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2846F470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186CC6D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2618E8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 91/2019,  92/2023) закон не примењује</w:t>
            </w:r>
          </w:p>
        </w:tc>
      </w:tr>
      <w:tr w14:paraId="1048BA5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2A9BE8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8CEEA48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Услуге</w:t>
            </w:r>
          </w:p>
        </w:tc>
      </w:tr>
      <w:tr w14:paraId="65A541C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CF5AE6C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2A87A4D"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 xml:space="preserve"> Н 1</w:t>
            </w:r>
            <w:r>
              <w:rPr>
                <w:rFonts w:hint="default" w:cs="Times New Roman"/>
                <w:sz w:val="24"/>
                <w:szCs w:val="24"/>
                <w:lang w:val="sr-Cyrl-RS" w:eastAsia="en-US" w:bidi="ar-SA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>/202</w:t>
            </w:r>
            <w:r>
              <w:rPr>
                <w:rFonts w:hint="default" w:cs="Times New Roman"/>
                <w:sz w:val="24"/>
                <w:szCs w:val="24"/>
                <w:lang w:val="sr-Cyrl-RS" w:eastAsia="en-US" w:bidi="ar-SA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 xml:space="preserve"> Набавка услуга - Одржавање возила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>са припадајућом опремом, ПАРТИЈА БР.</w:t>
            </w:r>
            <w:r>
              <w:rPr>
                <w:rFonts w:hint="default" w:cs="Times New Roman"/>
                <w:sz w:val="24"/>
                <w:szCs w:val="24"/>
                <w:lang w:val="sr-Cyrl-RS" w:eastAsia="en-US" w:bidi="ar-SA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>.</w:t>
            </w:r>
          </w:p>
          <w:p w14:paraId="4103E284">
            <w:pPr>
              <w:pStyle w:val="5"/>
              <w:spacing w:before="0" w:after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 xml:space="preserve"> Назив и ознака из општег речника : 71631200-2 Услуге техничког прегледа возила</w:t>
            </w:r>
            <w:r>
              <w:rPr>
                <w:rFonts w:hint="default" w:cs="Times New Roman"/>
                <w:sz w:val="24"/>
                <w:szCs w:val="24"/>
                <w:lang w:val="sr-Cyrl-RS" w:eastAsia="en-US" w:bidi="ar-SA"/>
              </w:rPr>
              <w:t>.</w:t>
            </w:r>
          </w:p>
        </w:tc>
      </w:tr>
      <w:tr w14:paraId="248C743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CDD60E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C1EE5A2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045AAFF4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18A046A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90BBD0B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DE4691C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0DDDF931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примењује.</w:t>
            </w:r>
          </w:p>
        </w:tc>
      </w:tr>
      <w:tr w14:paraId="7E89D58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3CB55CC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F61A8A8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3014D721">
            <w:pPr>
              <w:jc w:val="both"/>
              <w:rPr>
                <w:rFonts w:hint="default" w:eastAsia="SimSun" w:cs="Times New Roman"/>
                <w:b/>
                <w:bCs w:val="0"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b/>
                <w:lang w:val="sr-Latn-CS"/>
              </w:rPr>
              <w:t>dznb@mts.rs</w:t>
            </w:r>
            <w:r>
              <w:rPr>
                <w:rFonts w:hint="default"/>
                <w:b/>
                <w:lang w:val="sr-Cyrl-RS"/>
              </w:rPr>
              <w:t>.</w:t>
            </w:r>
          </w:p>
          <w:p w14:paraId="3CFE425A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7E341006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56952AD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4D9EA9A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01.09.2025. у 10 часова.</w:t>
            </w:r>
          </w:p>
        </w:tc>
      </w:tr>
      <w:tr w14:paraId="5507809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A499BE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E828A26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Јасна Драговић 063/8988-449</w:t>
            </w:r>
            <w:bookmarkStart w:id="0" w:name="_GoBack"/>
            <w:bookmarkEnd w:id="0"/>
          </w:p>
        </w:tc>
      </w:tr>
    </w:tbl>
    <w:p w14:paraId="6014A6B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0FE843C1"/>
    <w:rsid w:val="10332559"/>
    <w:rsid w:val="118670FA"/>
    <w:rsid w:val="301F2ADC"/>
    <w:rsid w:val="336B12CE"/>
    <w:rsid w:val="4A8142F1"/>
    <w:rsid w:val="5C8B54B2"/>
    <w:rsid w:val="64B03F4C"/>
    <w:rsid w:val="70E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autoRedefine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2025-08-25T07:52:24Z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ADCA522FE7784C7ABEE17F49EB008AD6_11</vt:lpwstr>
  </property>
</Properties>
</file>